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-229"/>
        <w:rPr>
          <w:b/>
        </w:rPr>
      </w:pPr>
      <w:r>
        <w:rPr>
          <w:b/>
        </w:rPr>
        <w:t xml:space="preserve">                                                                        </w: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52450" cy="654050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6">
                          <a:lum bright="2000" contrast="2000"/>
                        </a:blip>
                        <a:stretch/>
                      </pic:blipFill>
                      <pic:spPr bwMode="auto">
                        <a:xfrm>
                          <a:off x="0" y="0"/>
                          <a:ext cx="552450" cy="654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43.50pt;height:51.50pt;mso-wrap-distance-left:0.00pt;mso-wrap-distance-top:0.00pt;mso-wrap-distance-right:0.00pt;mso-wrap-distance-bottom:0.00pt;z-index:1;" stroked="f" strokeweight="0.75pt">
                <v:imagedata r:id="rId16" o:title=""/>
                <o:lock v:ext="edit" rotation="t"/>
              </v:shape>
            </w:pict>
          </mc:Fallback>
        </mc:AlternateContent>
      </w:r>
      <w:r>
        <w:rPr>
          <w:b/>
        </w:rPr>
      </w:r>
      <w:r>
        <w:rPr>
          <w:b/>
        </w:rPr>
      </w:r>
    </w:p>
    <w:p>
      <w:pPr>
        <w:pStyle w:val="976"/>
        <w:widowControl w:val="true"/>
        <w:pBdr/>
        <w:spacing w:line="240" w:lineRule="auto"/>
        <w:ind w:right="-229"/>
        <w:rPr/>
      </w:pPr>
      <w:r/>
      <w:r/>
    </w:p>
    <w:p>
      <w:pPr>
        <w:pBdr/>
        <w:spacing/>
        <w:ind w:right="-22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ДАЛЬНЕРЕЧЕНСКОГО МУНИЦИПАЛЬНОГО РАЙОНА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Bdr/>
        <w:spacing/>
        <w:ind w:right="-22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Bdr/>
        <w:spacing/>
        <w:ind w:right="-22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ПОСТАНОВЛЕНИЕ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Bdr/>
        <w:spacing/>
        <w:ind w:right="-229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 w:right="-229"/>
        <w:rPr>
          <w:b/>
        </w:rPr>
      </w:pPr>
      <w:r>
        <w:rPr>
          <w:b/>
          <w:u w:val="single"/>
        </w:rPr>
        <w:t xml:space="preserve">16</w:t>
      </w:r>
      <w:r>
        <w:rPr>
          <w:b/>
          <w:u w:val="single"/>
        </w:rPr>
        <w:t xml:space="preserve"> мая</w:t>
      </w:r>
      <w:r>
        <w:rPr>
          <w:b/>
          <w:u w:val="single"/>
        </w:rPr>
        <w:t xml:space="preserve"> 2025</w:t>
      </w:r>
      <w:r>
        <w:rPr>
          <w:b/>
          <w:u w:val="single"/>
        </w:rPr>
        <w:t xml:space="preserve"> г.</w:t>
      </w:r>
      <w:r>
        <w:rPr>
          <w:b/>
        </w:rPr>
        <w:t xml:space="preserve">           </w:t>
      </w:r>
      <w:r>
        <w:rPr>
          <w:b/>
        </w:rPr>
        <w:t xml:space="preserve">                      </w:t>
      </w:r>
      <w:r>
        <w:rPr>
          <w:b/>
        </w:rPr>
        <w:t xml:space="preserve">   </w:t>
      </w:r>
      <w:r>
        <w:rPr>
          <w:b/>
        </w:rPr>
        <w:t xml:space="preserve">  </w:t>
      </w:r>
      <w:r>
        <w:rPr>
          <w:b/>
        </w:rPr>
        <w:t xml:space="preserve">г. </w:t>
      </w:r>
      <w:r>
        <w:rPr>
          <w:b/>
        </w:rPr>
        <w:t xml:space="preserve">Дальнереченск    </w:t>
      </w:r>
      <w:r>
        <w:rPr>
          <w:b/>
        </w:rPr>
        <w:t xml:space="preserve">                                          </w:t>
      </w:r>
      <w:r>
        <w:rPr>
          <w:b/>
          <w:u w:val="single"/>
        </w:rPr>
        <w:t xml:space="preserve">№</w:t>
      </w:r>
      <w:r>
        <w:rPr>
          <w:b/>
          <w:u w:val="single"/>
        </w:rPr>
        <w:t xml:space="preserve"> 256 </w:t>
      </w:r>
      <w:r>
        <w:rPr>
          <w:b/>
          <w:u w:val="single"/>
        </w:rPr>
        <w:t xml:space="preserve">-</w:t>
      </w:r>
      <w:r>
        <w:rPr>
          <w:b/>
          <w:u w:val="single"/>
        </w:rPr>
        <w:t xml:space="preserve">па</w:t>
      </w:r>
      <w:r>
        <w:rPr>
          <w:b/>
        </w:rPr>
      </w:r>
      <w:r>
        <w:rPr>
          <w:b/>
        </w:rPr>
      </w:r>
    </w:p>
    <w:p>
      <w:pPr>
        <w:pBdr/>
        <w:spacing/>
        <w:ind w:right="-22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реестра мест (площадок)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накопления твердых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коммунальных отходов на территории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Дальнереченского муниципального района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</w:t>
      </w:r>
      <w:r>
        <w:rPr>
          <w:sz w:val="28"/>
          <w:szCs w:val="28"/>
        </w:rPr>
        <w:t xml:space="preserve">ветствии </w:t>
      </w:r>
      <w:r>
        <w:rPr>
          <w:sz w:val="28"/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</w:t>
      </w:r>
      <w:r>
        <w:rPr>
          <w:sz w:val="28"/>
          <w:szCs w:val="28"/>
        </w:rPr>
        <w:t xml:space="preserve">ссийской Федерации от 31.08.2018 № 1039 «Об утверждении правил обустройства мест (площадок) накопления твердых коммунальных отходов и ведения их реестра», Уставом Дальнереченского муниципального района, администрация Дальнереченского муниципального района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ПОСТАНОВЛЯЕТ: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contextualSpacing w:val="tru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Утвердить реестр мест (накопления) твердых коммунальных отходов на территории Дальнереченского муниципального района (Приложение № 1).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</w:t>
      </w:r>
      <w:r>
        <w:rPr>
          <w:sz w:val="28"/>
          <w:szCs w:val="28"/>
        </w:rPr>
        <w:t xml:space="preserve">Признать утратившим силу постановлени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администрации Дальнереченского муниципального района</w:t>
      </w:r>
      <w:r>
        <w:rPr>
          <w:sz w:val="28"/>
          <w:szCs w:val="28"/>
        </w:rPr>
        <w:t xml:space="preserve">  от 08.07.2024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338</w:t>
      </w:r>
      <w:r>
        <w:rPr>
          <w:sz w:val="28"/>
          <w:szCs w:val="28"/>
        </w:rPr>
        <w:t xml:space="preserve">-па «Об утверждении реестра мест (площадок) накопления твердых коммунальных отходов на территории Дальнереченского муниципального района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contextualSpacing w:val="true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Отделу п</w:t>
      </w:r>
      <w:r>
        <w:rPr>
          <w:sz w:val="28"/>
          <w:szCs w:val="28"/>
        </w:rPr>
        <w:t xml:space="preserve">о работе с территориями и делопроизводству администрации Дальнереченского муниципального района разместить настоящее постановление в информационно-телекоммуникационной сети Интернет на официальном сайте администрации Дальнереченского муниципального района.</w:t>
      </w:r>
      <w:r>
        <w:rPr>
          <w:rFonts w:eastAsiaTheme="minorEastAsia"/>
          <w:sz w:val="28"/>
          <w:szCs w:val="28"/>
        </w:rPr>
      </w:r>
      <w:r>
        <w:rPr>
          <w:rFonts w:eastAsiaTheme="minorEastAsia"/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</w:t>
      </w:r>
      <w:r>
        <w:rPr>
          <w:sz w:val="28"/>
          <w:szCs w:val="28"/>
        </w:rPr>
        <w:t xml:space="preserve">Контроль за исполнением постановления </w:t>
      </w:r>
      <w:r>
        <w:rPr>
          <w:sz w:val="28"/>
          <w:szCs w:val="28"/>
        </w:rPr>
        <w:t xml:space="preserve">оставляю за собой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4"/>
        <w:pBdr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</w:t>
      </w:r>
      <w:r>
        <w:rPr>
          <w:sz w:val="28"/>
          <w:szCs w:val="28"/>
        </w:rPr>
        <w:t xml:space="preserve">Настоящее постановление вступает в силу со дня его официального </w:t>
      </w:r>
      <w:r>
        <w:rPr>
          <w:sz w:val="28"/>
          <w:szCs w:val="28"/>
        </w:rPr>
        <w:t xml:space="preserve">обнародования в установленном порядке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48" w:left="360"/>
        <w:contextualSpacing w:val="true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48" w:left="360"/>
        <w:contextualSpacing w:val="true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Дальнереченского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6"/>
          <w:szCs w:val="26"/>
        </w:rPr>
      </w:pPr>
      <w:r>
        <w:rPr>
          <w:sz w:val="28"/>
          <w:szCs w:val="28"/>
        </w:rPr>
        <w:t xml:space="preserve">муниципального района                            </w:t>
      </w:r>
      <w:r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В.С. Дернов</w:t>
      </w:r>
      <w:r>
        <w:rPr>
          <w:sz w:val="26"/>
          <w:szCs w:val="26"/>
        </w:rPr>
      </w:r>
      <w:r>
        <w:rPr>
          <w:sz w:val="26"/>
          <w:szCs w:val="26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567" w:right="851" w:bottom="851" w:left="1418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2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2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2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  %1."/>
      <w:numFmt w:val="decimal"/>
      <w:pPr>
        <w:pBdr/>
        <w:spacing/>
        <w:ind w:hanging="360" w:left="78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544"/>
      </w:pPr>
      <w:rPr>
        <w:rFonts w:hint="default"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26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98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70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42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14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86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58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304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spacing/>
        <w:ind w:hanging="360" w:left="644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36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08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0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2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24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96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68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04"/>
      </w:pPr>
      <w:rPr/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360" w:left="644"/>
      </w:pPr>
      <w:rPr>
        <w:rFonts w:ascii="Arial" w:hAnsi="Arial" w:eastAsia="Calibri" w:cs="Aria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60" w:left="786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6"/>
      </w:pPr>
      <w:rPr/>
      <w:start w:val="1"/>
      <w:suff w:val="tab"/>
    </w:lvl>
  </w:abstractNum>
  <w:abstractNum w:abstractNumId="6">
    <w:lvl w:ilvl="0">
      <w:isLgl w:val="false"/>
      <w:lvlJc w:val="left"/>
      <w:lvlText w:val="%1."/>
      <w:numFmt w:val="decimal"/>
      <w:pPr>
        <w:pBdr/>
        <w:spacing/>
        <w:ind w:hanging="360" w:left="644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7">
    <w:lvl w:ilvl="0">
      <w:isLgl w:val="false"/>
      <w:lvlJc w:val="left"/>
      <w:lvlText w:val="%1."/>
      <w:numFmt w:val="decimal"/>
      <w:pPr>
        <w:pBdr/>
        <w:tabs>
          <w:tab w:val="num" w:leader="none" w:pos="960"/>
        </w:tabs>
        <w:spacing/>
        <w:ind w:hanging="360" w:left="9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80"/>
        </w:tabs>
        <w:spacing/>
        <w:ind w:hanging="360" w:left="16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00"/>
        </w:tabs>
        <w:spacing/>
        <w:ind w:hanging="180" w:left="24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20"/>
        </w:tabs>
        <w:spacing/>
        <w:ind w:hanging="360" w:left="31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40"/>
        </w:tabs>
        <w:spacing/>
        <w:ind w:hanging="360" w:left="38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60"/>
        </w:tabs>
        <w:spacing/>
        <w:ind w:hanging="180" w:left="45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80"/>
        </w:tabs>
        <w:spacing/>
        <w:ind w:hanging="360" w:left="52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00"/>
        </w:tabs>
        <w:spacing/>
        <w:ind w:hanging="360" w:left="60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20"/>
        </w:tabs>
        <w:spacing/>
        <w:ind w:hanging="180" w:left="6720"/>
      </w:pPr>
      <w:rPr/>
      <w:start w:val="1"/>
      <w:suff w:val="tab"/>
    </w:lvl>
  </w:abstractNum>
  <w:abstractNum w:abstractNumId="8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1005" w:left="1714"/>
      </w:pPr>
      <w:rPr>
        <w:rFonts w:cstheme="minorBid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78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50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322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94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66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38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610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829"/>
      </w:pPr>
      <w:rPr/>
      <w:start w:val="1"/>
      <w:suff w:val="tab"/>
    </w:lvl>
  </w:abstractNum>
  <w:abstractNum w:abstractNumId="9">
    <w:lvl w:ilvl="0">
      <w:isLgl w:val="false"/>
      <w:lvlJc w:val="left"/>
      <w:lvlText w:val="%1."/>
      <w:numFmt w:val="decimal"/>
      <w:pPr>
        <w:pBdr/>
        <w:spacing/>
        <w:ind w:hanging="360" w:left="927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4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6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8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0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2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4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6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87"/>
      </w:pPr>
      <w:rPr/>
      <w:start w:val="1"/>
      <w:suff w:val="tab"/>
    </w:lvl>
  </w:abstractNum>
  <w:abstractNum w:abstractNumId="10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1">
    <w:lvl w:ilvl="0">
      <w:isLgl w:val="false"/>
      <w:lvlJc w:val="left"/>
      <w:lvlText w:val="%1."/>
      <w:numFmt w:val="decimal"/>
      <w:pPr>
        <w:pBdr/>
        <w:spacing/>
        <w:ind w:hanging="360" w:left="544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26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98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70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42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14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86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58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304"/>
      </w:pPr>
      <w:rPr/>
      <w:start w:val="1"/>
      <w:suff w:val="tab"/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10"/>
  </w:num>
  <w:num w:numId="8">
    <w:abstractNumId w:val="0"/>
  </w:num>
  <w:num w:numId="9">
    <w:abstractNumId w:val="6"/>
  </w:num>
  <w:num w:numId="10">
    <w:abstractNumId w:val="11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81">
    <w:name w:val="Table Grid Light"/>
    <w:basedOn w:val="96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Plain Table 1"/>
    <w:basedOn w:val="96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Plain Table 2"/>
    <w:basedOn w:val="96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Plain Table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Plain Table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1 Light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1 Light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1 Light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1 Light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2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2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2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3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3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3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4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4 - Accent 1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4 - Accent 2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4 - Accent 3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 - Accent 4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5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 - Accent 6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5 Dark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5 Dark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5 Dark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5 Dark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6 Colorful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6 Colorful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6 Colorful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6 Colorful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7 Colorful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7 Colorful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7 Colorful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7 Colorful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1 Light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1 Light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1 Light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1 Light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2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2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2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3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3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3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4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4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4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5 Dark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5 Dark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5 Dark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5 Dark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6 Colorful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6 Colorful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6 Colorful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6 Colorful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7 Colorful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7 Colorful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7 Colorful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7 Colorful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ned - Accent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ned - Accent 1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ned - Accent 2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ned - Accent 3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 4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5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 6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Bordered &amp; Lined - Accent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Bordered &amp; Lined - Accent 1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Bordered &amp; Lined - Accent 2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&amp; Lined - Accent 3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 4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5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 6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6">
    <w:name w:val="Heading 4"/>
    <w:basedOn w:val="958"/>
    <w:next w:val="958"/>
    <w:link w:val="91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907">
    <w:name w:val="Heading 5"/>
    <w:basedOn w:val="958"/>
    <w:next w:val="958"/>
    <w:link w:val="91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908">
    <w:name w:val="Heading 6"/>
    <w:basedOn w:val="958"/>
    <w:next w:val="958"/>
    <w:link w:val="91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909">
    <w:name w:val="Heading 7"/>
    <w:basedOn w:val="958"/>
    <w:next w:val="958"/>
    <w:link w:val="91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910">
    <w:name w:val="Heading 8"/>
    <w:basedOn w:val="958"/>
    <w:next w:val="958"/>
    <w:link w:val="91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911">
    <w:name w:val="Heading 9"/>
    <w:basedOn w:val="958"/>
    <w:next w:val="958"/>
    <w:link w:val="92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12">
    <w:name w:val="Heading 1 Char"/>
    <w:basedOn w:val="962"/>
    <w:link w:val="9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13">
    <w:name w:val="Heading 2 Char"/>
    <w:basedOn w:val="962"/>
    <w:link w:val="9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14">
    <w:name w:val="Heading 3 Char"/>
    <w:basedOn w:val="962"/>
    <w:link w:val="9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15">
    <w:name w:val="Heading 4 Char"/>
    <w:basedOn w:val="962"/>
    <w:link w:val="90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16">
    <w:name w:val="Heading 5 Char"/>
    <w:basedOn w:val="962"/>
    <w:link w:val="90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17">
    <w:name w:val="Heading 6 Char"/>
    <w:basedOn w:val="962"/>
    <w:link w:val="90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18">
    <w:name w:val="Heading 7 Char"/>
    <w:basedOn w:val="962"/>
    <w:link w:val="90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19">
    <w:name w:val="Heading 8 Char"/>
    <w:basedOn w:val="962"/>
    <w:link w:val="91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20">
    <w:name w:val="Heading 9 Char"/>
    <w:basedOn w:val="962"/>
    <w:link w:val="91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21">
    <w:name w:val="Title"/>
    <w:basedOn w:val="958"/>
    <w:next w:val="958"/>
    <w:link w:val="922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22">
    <w:name w:val="Title Char"/>
    <w:basedOn w:val="962"/>
    <w:link w:val="92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23">
    <w:name w:val="Subtitle"/>
    <w:basedOn w:val="958"/>
    <w:next w:val="958"/>
    <w:link w:val="92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24">
    <w:name w:val="Subtitle Char"/>
    <w:basedOn w:val="962"/>
    <w:link w:val="92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25">
    <w:name w:val="Quote"/>
    <w:basedOn w:val="958"/>
    <w:next w:val="958"/>
    <w:link w:val="92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26">
    <w:name w:val="Quote Char"/>
    <w:basedOn w:val="962"/>
    <w:link w:val="92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27">
    <w:name w:val="Intense Emphasis"/>
    <w:basedOn w:val="96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28">
    <w:name w:val="Intense Quote"/>
    <w:basedOn w:val="958"/>
    <w:next w:val="958"/>
    <w:link w:val="92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29">
    <w:name w:val="Intense Quote Char"/>
    <w:basedOn w:val="962"/>
    <w:link w:val="92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30">
    <w:name w:val="Intense Reference"/>
    <w:basedOn w:val="96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931">
    <w:name w:val="Subtle Emphasis"/>
    <w:basedOn w:val="96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32">
    <w:name w:val="Emphasis"/>
    <w:basedOn w:val="962"/>
    <w:uiPriority w:val="20"/>
    <w:qFormat/>
    <w:pPr>
      <w:pBdr/>
      <w:spacing/>
      <w:ind/>
    </w:pPr>
    <w:rPr>
      <w:i/>
      <w:iCs/>
    </w:rPr>
  </w:style>
  <w:style w:type="character" w:styleId="933">
    <w:name w:val="Strong"/>
    <w:basedOn w:val="962"/>
    <w:uiPriority w:val="22"/>
    <w:qFormat/>
    <w:pPr>
      <w:pBdr/>
      <w:spacing/>
      <w:ind/>
    </w:pPr>
    <w:rPr>
      <w:b/>
      <w:bCs/>
    </w:rPr>
  </w:style>
  <w:style w:type="character" w:styleId="934">
    <w:name w:val="Subtle Reference"/>
    <w:basedOn w:val="96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35">
    <w:name w:val="Book Title"/>
    <w:basedOn w:val="96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36">
    <w:name w:val="Header Char"/>
    <w:basedOn w:val="962"/>
    <w:link w:val="980"/>
    <w:uiPriority w:val="99"/>
    <w:pPr>
      <w:pBdr/>
      <w:spacing/>
      <w:ind/>
    </w:pPr>
  </w:style>
  <w:style w:type="character" w:styleId="937">
    <w:name w:val="Footer Char"/>
    <w:basedOn w:val="962"/>
    <w:link w:val="982"/>
    <w:uiPriority w:val="99"/>
    <w:pPr>
      <w:pBdr/>
      <w:spacing/>
      <w:ind/>
    </w:pPr>
  </w:style>
  <w:style w:type="paragraph" w:styleId="938">
    <w:name w:val="Caption"/>
    <w:basedOn w:val="958"/>
    <w:next w:val="95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39">
    <w:name w:val="footnote text"/>
    <w:basedOn w:val="958"/>
    <w:link w:val="94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40">
    <w:name w:val="Footnote Text Char"/>
    <w:basedOn w:val="962"/>
    <w:link w:val="939"/>
    <w:uiPriority w:val="99"/>
    <w:semiHidden/>
    <w:pPr>
      <w:pBdr/>
      <w:spacing/>
      <w:ind/>
    </w:pPr>
    <w:rPr>
      <w:sz w:val="20"/>
      <w:szCs w:val="20"/>
    </w:rPr>
  </w:style>
  <w:style w:type="character" w:styleId="941">
    <w:name w:val="footnote reference"/>
    <w:basedOn w:val="962"/>
    <w:uiPriority w:val="99"/>
    <w:semiHidden/>
    <w:unhideWhenUsed/>
    <w:pPr>
      <w:pBdr/>
      <w:spacing/>
      <w:ind/>
    </w:pPr>
    <w:rPr>
      <w:vertAlign w:val="superscript"/>
    </w:rPr>
  </w:style>
  <w:style w:type="paragraph" w:styleId="942">
    <w:name w:val="endnote text"/>
    <w:basedOn w:val="958"/>
    <w:link w:val="94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43">
    <w:name w:val="Endnote Text Char"/>
    <w:basedOn w:val="962"/>
    <w:link w:val="942"/>
    <w:uiPriority w:val="99"/>
    <w:semiHidden/>
    <w:pPr>
      <w:pBdr/>
      <w:spacing/>
      <w:ind/>
    </w:pPr>
    <w:rPr>
      <w:sz w:val="20"/>
      <w:szCs w:val="20"/>
    </w:rPr>
  </w:style>
  <w:style w:type="character" w:styleId="944">
    <w:name w:val="endnote reference"/>
    <w:basedOn w:val="962"/>
    <w:uiPriority w:val="99"/>
    <w:semiHidden/>
    <w:unhideWhenUsed/>
    <w:pPr>
      <w:pBdr/>
      <w:spacing/>
      <w:ind/>
    </w:pPr>
    <w:rPr>
      <w:vertAlign w:val="superscript"/>
    </w:rPr>
  </w:style>
  <w:style w:type="character" w:styleId="945">
    <w:name w:val="Hyperlink"/>
    <w:basedOn w:val="96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46">
    <w:name w:val="FollowedHyperlink"/>
    <w:basedOn w:val="96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47">
    <w:name w:val="toc 1"/>
    <w:basedOn w:val="958"/>
    <w:next w:val="958"/>
    <w:uiPriority w:val="39"/>
    <w:unhideWhenUsed/>
    <w:pPr>
      <w:pBdr/>
      <w:spacing w:after="100"/>
      <w:ind/>
    </w:pPr>
  </w:style>
  <w:style w:type="paragraph" w:styleId="948">
    <w:name w:val="toc 2"/>
    <w:basedOn w:val="958"/>
    <w:next w:val="958"/>
    <w:uiPriority w:val="39"/>
    <w:unhideWhenUsed/>
    <w:pPr>
      <w:pBdr/>
      <w:spacing w:after="100"/>
      <w:ind w:left="220"/>
    </w:pPr>
  </w:style>
  <w:style w:type="paragraph" w:styleId="949">
    <w:name w:val="toc 3"/>
    <w:basedOn w:val="958"/>
    <w:next w:val="958"/>
    <w:uiPriority w:val="39"/>
    <w:unhideWhenUsed/>
    <w:pPr>
      <w:pBdr/>
      <w:spacing w:after="100"/>
      <w:ind w:left="440"/>
    </w:pPr>
  </w:style>
  <w:style w:type="paragraph" w:styleId="950">
    <w:name w:val="toc 4"/>
    <w:basedOn w:val="958"/>
    <w:next w:val="958"/>
    <w:uiPriority w:val="39"/>
    <w:unhideWhenUsed/>
    <w:pPr>
      <w:pBdr/>
      <w:spacing w:after="100"/>
      <w:ind w:left="660"/>
    </w:pPr>
  </w:style>
  <w:style w:type="paragraph" w:styleId="951">
    <w:name w:val="toc 5"/>
    <w:basedOn w:val="958"/>
    <w:next w:val="958"/>
    <w:uiPriority w:val="39"/>
    <w:unhideWhenUsed/>
    <w:pPr>
      <w:pBdr/>
      <w:spacing w:after="100"/>
      <w:ind w:left="880"/>
    </w:pPr>
  </w:style>
  <w:style w:type="paragraph" w:styleId="952">
    <w:name w:val="toc 6"/>
    <w:basedOn w:val="958"/>
    <w:next w:val="958"/>
    <w:uiPriority w:val="39"/>
    <w:unhideWhenUsed/>
    <w:pPr>
      <w:pBdr/>
      <w:spacing w:after="100"/>
      <w:ind w:left="1100"/>
    </w:pPr>
  </w:style>
  <w:style w:type="paragraph" w:styleId="953">
    <w:name w:val="toc 7"/>
    <w:basedOn w:val="958"/>
    <w:next w:val="958"/>
    <w:uiPriority w:val="39"/>
    <w:unhideWhenUsed/>
    <w:pPr>
      <w:pBdr/>
      <w:spacing w:after="100"/>
      <w:ind w:left="1320"/>
    </w:pPr>
  </w:style>
  <w:style w:type="paragraph" w:styleId="954">
    <w:name w:val="toc 8"/>
    <w:basedOn w:val="958"/>
    <w:next w:val="958"/>
    <w:uiPriority w:val="39"/>
    <w:unhideWhenUsed/>
    <w:pPr>
      <w:pBdr/>
      <w:spacing w:after="100"/>
      <w:ind w:left="1540"/>
    </w:pPr>
  </w:style>
  <w:style w:type="paragraph" w:styleId="955">
    <w:name w:val="toc 9"/>
    <w:basedOn w:val="958"/>
    <w:next w:val="958"/>
    <w:uiPriority w:val="39"/>
    <w:unhideWhenUsed/>
    <w:pPr>
      <w:pBdr/>
      <w:spacing w:after="100"/>
      <w:ind w:left="1760"/>
    </w:pPr>
  </w:style>
  <w:style w:type="paragraph" w:styleId="956">
    <w:name w:val="TOC Heading"/>
    <w:uiPriority w:val="39"/>
    <w:unhideWhenUsed/>
    <w:pPr>
      <w:pBdr/>
      <w:spacing/>
      <w:ind/>
    </w:pPr>
  </w:style>
  <w:style w:type="paragraph" w:styleId="957">
    <w:name w:val="table of figures"/>
    <w:basedOn w:val="958"/>
    <w:next w:val="958"/>
    <w:uiPriority w:val="99"/>
    <w:unhideWhenUsed/>
    <w:pPr>
      <w:pBdr/>
      <w:spacing w:after="0" w:afterAutospacing="0"/>
      <w:ind/>
    </w:pPr>
  </w:style>
  <w:style w:type="paragraph" w:styleId="958" w:default="1">
    <w:name w:val="Normal"/>
    <w:qFormat/>
    <w:pPr>
      <w:pBdr/>
      <w:spacing/>
      <w:ind/>
    </w:pPr>
    <w:rPr>
      <w:sz w:val="24"/>
      <w:szCs w:val="24"/>
    </w:rPr>
  </w:style>
  <w:style w:type="paragraph" w:styleId="959">
    <w:name w:val="Heading 1"/>
    <w:basedOn w:val="958"/>
    <w:next w:val="958"/>
    <w:link w:val="966"/>
    <w:qFormat/>
    <w:pPr>
      <w:keepNext w:val="true"/>
      <w:pBdr/>
      <w:spacing/>
      <w:ind w:firstLine="540"/>
      <w:jc w:val="both"/>
      <w:outlineLvl w:val="0"/>
    </w:pPr>
    <w:rPr>
      <w:rFonts w:ascii="Arial" w:hAnsi="Arial" w:eastAsia="Calibri" w:cs="Arial"/>
      <w:b/>
      <w:bCs/>
      <w:lang w:eastAsia="en-US"/>
    </w:rPr>
  </w:style>
  <w:style w:type="paragraph" w:styleId="960">
    <w:name w:val="Heading 2"/>
    <w:basedOn w:val="958"/>
    <w:next w:val="958"/>
    <w:link w:val="967"/>
    <w:qFormat/>
    <w:pPr>
      <w:keepNext w:val="true"/>
      <w:pBdr/>
      <w:spacing/>
      <w:ind w:firstLine="709"/>
      <w:jc w:val="center"/>
      <w:outlineLvl w:val="1"/>
    </w:pPr>
    <w:rPr>
      <w:rFonts w:ascii="Arial" w:hAnsi="Arial" w:eastAsia="Calibri" w:cs="Arial"/>
      <w:b/>
    </w:rPr>
  </w:style>
  <w:style w:type="paragraph" w:styleId="961">
    <w:name w:val="Heading 3"/>
    <w:basedOn w:val="958"/>
    <w:next w:val="958"/>
    <w:link w:val="968"/>
    <w:qFormat/>
    <w:pPr>
      <w:keepNext w:val="true"/>
      <w:pBdr/>
      <w:spacing/>
      <w:ind w:firstLine="709"/>
      <w:jc w:val="center"/>
      <w:outlineLvl w:val="2"/>
    </w:pPr>
    <w:rPr>
      <w:rFonts w:ascii="Arial" w:hAnsi="Arial" w:eastAsia="Calibri" w:cs="Arial"/>
      <w:b/>
      <w:sz w:val="22"/>
      <w:szCs w:val="22"/>
    </w:rPr>
  </w:style>
  <w:style w:type="character" w:styleId="962" w:default="1">
    <w:name w:val="Default Paragraph Font"/>
    <w:uiPriority w:val="1"/>
    <w:semiHidden/>
    <w:unhideWhenUsed/>
    <w:pPr>
      <w:pBdr/>
      <w:spacing/>
      <w:ind/>
    </w:pPr>
  </w:style>
  <w:style w:type="table" w:styleId="963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64" w:default="1">
    <w:name w:val="No List"/>
    <w:uiPriority w:val="99"/>
    <w:semiHidden/>
    <w:unhideWhenUsed/>
    <w:pPr>
      <w:pBdr/>
      <w:spacing/>
      <w:ind/>
    </w:pPr>
  </w:style>
  <w:style w:type="paragraph" w:styleId="965" w:customStyle="1">
    <w:name w:val="msonormalcxspmiddle"/>
    <w:basedOn w:val="958"/>
    <w:pPr>
      <w:pBdr/>
      <w:spacing w:after="100" w:afterAutospacing="1" w:before="100" w:beforeAutospacing="1"/>
      <w:ind/>
    </w:pPr>
  </w:style>
  <w:style w:type="character" w:styleId="966" w:customStyle="1">
    <w:name w:val="Заголовок 1 Знак"/>
    <w:link w:val="959"/>
    <w:pPr>
      <w:pBdr/>
      <w:spacing/>
      <w:ind/>
    </w:pPr>
    <w:rPr>
      <w:rFonts w:ascii="Arial" w:hAnsi="Arial" w:eastAsia="Calibri" w:cs="Arial"/>
      <w:b/>
      <w:bCs/>
      <w:sz w:val="24"/>
      <w:szCs w:val="24"/>
      <w:lang w:val="ru-RU" w:eastAsia="en-US" w:bidi="ar-SA"/>
    </w:rPr>
  </w:style>
  <w:style w:type="character" w:styleId="967" w:customStyle="1">
    <w:name w:val="Заголовок 2 Знак"/>
    <w:link w:val="960"/>
    <w:pPr>
      <w:pBdr/>
      <w:spacing/>
      <w:ind/>
    </w:pPr>
    <w:rPr>
      <w:rFonts w:ascii="Arial" w:hAnsi="Arial" w:eastAsia="Calibri" w:cs="Arial"/>
      <w:b/>
      <w:sz w:val="24"/>
      <w:szCs w:val="24"/>
      <w:lang w:val="ru-RU" w:eastAsia="ru-RU" w:bidi="ar-SA"/>
    </w:rPr>
  </w:style>
  <w:style w:type="character" w:styleId="968" w:customStyle="1">
    <w:name w:val="Заголовок 3 Знак"/>
    <w:link w:val="961"/>
    <w:pPr>
      <w:pBdr/>
      <w:spacing/>
      <w:ind/>
    </w:pPr>
    <w:rPr>
      <w:rFonts w:ascii="Arial" w:hAnsi="Arial" w:eastAsia="Calibri" w:cs="Arial"/>
      <w:b/>
      <w:sz w:val="22"/>
      <w:szCs w:val="22"/>
      <w:lang w:val="ru-RU" w:eastAsia="ru-RU" w:bidi="ar-SA"/>
    </w:rPr>
  </w:style>
  <w:style w:type="paragraph" w:styleId="969">
    <w:name w:val="List Paragraph"/>
    <w:basedOn w:val="958"/>
    <w:uiPriority w:val="34"/>
    <w:qFormat/>
    <w:pPr>
      <w:pBdr/>
      <w:spacing w:after="200" w:line="276" w:lineRule="auto"/>
      <w:ind w:left="720"/>
      <w:contextualSpacing w:val="true"/>
    </w:pPr>
    <w:rPr>
      <w:rFonts w:ascii="Calibri" w:hAnsi="Calibri"/>
      <w:sz w:val="22"/>
      <w:szCs w:val="22"/>
    </w:rPr>
  </w:style>
  <w:style w:type="paragraph" w:styleId="970">
    <w:name w:val="Body Text Indent"/>
    <w:basedOn w:val="958"/>
    <w:link w:val="971"/>
    <w:pPr>
      <w:pBdr/>
      <w:spacing/>
      <w:ind w:left="2160"/>
      <w:jc w:val="both"/>
    </w:pPr>
  </w:style>
  <w:style w:type="character" w:styleId="971" w:customStyle="1">
    <w:name w:val="Основной текст с отступом Знак"/>
    <w:link w:val="970"/>
    <w:pPr>
      <w:pBdr/>
      <w:spacing/>
      <w:ind/>
    </w:pPr>
    <w:rPr>
      <w:sz w:val="24"/>
      <w:szCs w:val="24"/>
    </w:rPr>
  </w:style>
  <w:style w:type="paragraph" w:styleId="972">
    <w:name w:val="No Spacing"/>
    <w:qFormat/>
    <w:pPr>
      <w:pBdr/>
      <w:spacing/>
      <w:ind/>
    </w:pPr>
    <w:rPr>
      <w:rFonts w:ascii="Calibri" w:hAnsi="Calibri" w:eastAsia="Calibri"/>
      <w:sz w:val="22"/>
      <w:szCs w:val="22"/>
      <w:lang w:eastAsia="en-US"/>
    </w:rPr>
  </w:style>
  <w:style w:type="table" w:styleId="973">
    <w:name w:val="Table Grid"/>
    <w:basedOn w:val="963"/>
    <w:uiPriority w:val="59"/>
    <w:pPr>
      <w:pBdr/>
      <w:spacing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74">
    <w:name w:val="Body Text"/>
    <w:basedOn w:val="958"/>
    <w:link w:val="975"/>
    <w:uiPriority w:val="99"/>
    <w:semiHidden/>
    <w:unhideWhenUsed/>
    <w:pPr>
      <w:pBdr/>
      <w:spacing w:after="120"/>
      <w:ind/>
    </w:pPr>
  </w:style>
  <w:style w:type="character" w:styleId="975" w:customStyle="1">
    <w:name w:val="Основной текст Знак"/>
    <w:link w:val="974"/>
    <w:uiPriority w:val="99"/>
    <w:semiHidden/>
    <w:pPr>
      <w:pBdr/>
      <w:spacing/>
      <w:ind/>
    </w:pPr>
    <w:rPr>
      <w:sz w:val="24"/>
      <w:szCs w:val="24"/>
    </w:rPr>
  </w:style>
  <w:style w:type="paragraph" w:styleId="976" w:customStyle="1">
    <w:name w:val="Style9"/>
    <w:basedOn w:val="958"/>
    <w:pPr>
      <w:widowControl w:val="false"/>
      <w:pBdr/>
      <w:spacing w:line="317" w:lineRule="exact"/>
      <w:ind/>
      <w:jc w:val="center"/>
    </w:pPr>
  </w:style>
  <w:style w:type="paragraph" w:styleId="977">
    <w:name w:val="Balloon Text"/>
    <w:basedOn w:val="958"/>
    <w:link w:val="978"/>
    <w:uiPriority w:val="99"/>
    <w:semiHidden/>
    <w:unhideWhenUsed/>
    <w:pPr>
      <w:pBdr/>
      <w:spacing/>
      <w:ind/>
    </w:pPr>
    <w:rPr>
      <w:rFonts w:ascii="Tahoma" w:hAnsi="Tahoma"/>
      <w:sz w:val="16"/>
      <w:szCs w:val="16"/>
    </w:rPr>
  </w:style>
  <w:style w:type="character" w:styleId="978" w:customStyle="1">
    <w:name w:val="Текст выноски Знак"/>
    <w:link w:val="977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79" w:customStyle="1">
    <w:name w:val="Цветовое выделение"/>
    <w:pPr>
      <w:pBdr/>
      <w:spacing/>
      <w:ind/>
    </w:pPr>
    <w:rPr>
      <w:b/>
      <w:bCs/>
      <w:color w:val="26282f"/>
    </w:rPr>
  </w:style>
  <w:style w:type="paragraph" w:styleId="980">
    <w:name w:val="Header"/>
    <w:basedOn w:val="958"/>
    <w:link w:val="981"/>
    <w:uiPriority w:val="99"/>
    <w:semiHidden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81" w:customStyle="1">
    <w:name w:val="Верхний колонтитул Знак"/>
    <w:basedOn w:val="962"/>
    <w:link w:val="980"/>
    <w:uiPriority w:val="99"/>
    <w:semiHidden/>
    <w:pPr>
      <w:pBdr/>
      <w:spacing/>
      <w:ind/>
    </w:pPr>
    <w:rPr>
      <w:sz w:val="24"/>
      <w:szCs w:val="24"/>
    </w:rPr>
  </w:style>
  <w:style w:type="paragraph" w:styleId="982">
    <w:name w:val="Footer"/>
    <w:basedOn w:val="958"/>
    <w:link w:val="983"/>
    <w:uiPriority w:val="99"/>
    <w:semiHidden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83" w:customStyle="1">
    <w:name w:val="Нижний колонтитул Знак"/>
    <w:basedOn w:val="962"/>
    <w:link w:val="982"/>
    <w:uiPriority w:val="99"/>
    <w:semiHidden/>
    <w:pPr>
      <w:pBdr/>
      <w:spacing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Relationship Id="rId16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5963E-4EC4-4F68-9E7B-F43D1F309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ONLYOFFICE/8.3.3.21</Application>
  <DocSecurity>0</DocSecurity>
  <ScaleCrop>0</ScaleCrop>
  <HeadingPairs>
    <vt:vector size="0" baseType="variant"/>
  </HeadingPairs>
  <TitlesOfParts>
    <vt:vector size="0" baseType="lpstr"/>
  </TitlesOfParts>
  <Company>MoBIL GROUP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ЦЕЛЕВАЯ ПРОГРАММА</dc:title>
  <dc:creator>User</dc:creator>
  <cp:revision>21</cp:revision>
  <dcterms:created xsi:type="dcterms:W3CDTF">2023-12-26T00:37:00Z</dcterms:created>
  <dcterms:modified xsi:type="dcterms:W3CDTF">2025-05-15T23:18:05Z</dcterms:modified>
</cp:coreProperties>
</file>